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85" w:rsidRDefault="00A85B81">
      <w:pPr>
        <w:pBdr>
          <w:top w:val="nil"/>
          <w:left w:val="nil"/>
          <w:bottom w:val="nil"/>
          <w:right w:val="nil"/>
          <w:between w:val="nil"/>
        </w:pBdr>
        <w:jc w:val="center"/>
        <w:rPr>
          <w:rFonts w:ascii="Calibri" w:eastAsia="Calibri" w:hAnsi="Calibri" w:cs="Calibri"/>
          <w:color w:val="0B5394"/>
          <w:sz w:val="36"/>
          <w:szCs w:val="36"/>
        </w:rPr>
      </w:pPr>
      <w:r>
        <w:rPr>
          <w:rFonts w:ascii="Calibri" w:eastAsia="Calibri" w:hAnsi="Calibri" w:cs="Calibri"/>
          <w:b/>
          <w:color w:val="0B5394"/>
          <w:sz w:val="36"/>
          <w:szCs w:val="36"/>
        </w:rPr>
        <w:t>Overeenkomst voor loopbaanbegeleiding</w:t>
      </w:r>
    </w:p>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554185">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tblInd w:w="0" w:type="dxa"/>
        <w:tblLayout w:type="fixed"/>
        <w:tblLook w:val="0000" w:firstRow="0" w:lastRow="0" w:firstColumn="0" w:lastColumn="0" w:noHBand="0" w:noVBand="0"/>
      </w:tblPr>
      <w:tblGrid>
        <w:gridCol w:w="4077"/>
        <w:gridCol w:w="567"/>
        <w:gridCol w:w="4568"/>
      </w:tblGrid>
      <w:tr w:rsidR="00554185">
        <w:tc>
          <w:tcPr>
            <w:tcW w:w="4077" w:type="dxa"/>
          </w:tcPr>
          <w:p w:rsidR="00554185" w:rsidRDefault="00A85B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Tussen</w:t>
            </w:r>
          </w:p>
          <w:p w:rsidR="00554185" w:rsidRDefault="00554185">
            <w:pPr>
              <w:pBdr>
                <w:top w:val="nil"/>
                <w:left w:val="nil"/>
                <w:bottom w:val="nil"/>
                <w:right w:val="nil"/>
                <w:between w:val="nil"/>
              </w:pBdr>
              <w:jc w:val="both"/>
              <w:rPr>
                <w:rFonts w:ascii="Calibri" w:eastAsia="Calibri" w:hAnsi="Calibri" w:cs="Calibri"/>
                <w:color w:val="000000"/>
                <w:sz w:val="22"/>
                <w:szCs w:val="22"/>
              </w:rPr>
            </w:pPr>
          </w:p>
        </w:tc>
        <w:tc>
          <w:tcPr>
            <w:tcW w:w="567" w:type="dxa"/>
          </w:tcPr>
          <w:p w:rsidR="00554185" w:rsidRDefault="00A85B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En</w:t>
            </w:r>
          </w:p>
        </w:tc>
        <w:tc>
          <w:tcPr>
            <w:tcW w:w="4568" w:type="dxa"/>
          </w:tcPr>
          <w:p w:rsidR="00554185" w:rsidRDefault="00554185">
            <w:pPr>
              <w:pBdr>
                <w:top w:val="nil"/>
                <w:left w:val="nil"/>
                <w:bottom w:val="nil"/>
                <w:right w:val="nil"/>
                <w:between w:val="nil"/>
              </w:pBdr>
              <w:jc w:val="both"/>
              <w:rPr>
                <w:rFonts w:ascii="Calibri" w:eastAsia="Calibri" w:hAnsi="Calibri" w:cs="Calibri"/>
                <w:color w:val="000000"/>
                <w:sz w:val="22"/>
                <w:szCs w:val="22"/>
              </w:rPr>
            </w:pPr>
          </w:p>
        </w:tc>
      </w:tr>
      <w:tr w:rsidR="00554185">
        <w:tc>
          <w:tcPr>
            <w:tcW w:w="4077" w:type="dxa"/>
          </w:tcPr>
          <w:p w:rsidR="00554185" w:rsidRDefault="00A85B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Naam, voornaam en adres</w:t>
            </w:r>
            <w:r>
              <w:rPr>
                <w:rFonts w:ascii="Calibri" w:eastAsia="Calibri" w:hAnsi="Calibri" w:cs="Calibri"/>
                <w:sz w:val="22"/>
                <w:szCs w:val="22"/>
              </w:rPr>
              <w:t xml:space="preserve"> </w:t>
            </w:r>
            <w:r>
              <w:rPr>
                <w:rFonts w:ascii="Calibri" w:eastAsia="Calibri" w:hAnsi="Calibri" w:cs="Calibri"/>
                <w:color w:val="000000"/>
                <w:sz w:val="22"/>
                <w:szCs w:val="22"/>
              </w:rPr>
              <w:t>van de werknemer/zelfstandige:</w:t>
            </w:r>
          </w:p>
        </w:tc>
        <w:tc>
          <w:tcPr>
            <w:tcW w:w="567" w:type="dxa"/>
          </w:tcPr>
          <w:p w:rsidR="00554185" w:rsidRDefault="00554185">
            <w:pPr>
              <w:pBdr>
                <w:top w:val="nil"/>
                <w:left w:val="nil"/>
                <w:bottom w:val="nil"/>
                <w:right w:val="nil"/>
                <w:between w:val="nil"/>
              </w:pBdr>
              <w:jc w:val="both"/>
              <w:rPr>
                <w:rFonts w:ascii="Calibri" w:eastAsia="Calibri" w:hAnsi="Calibri" w:cs="Calibri"/>
                <w:color w:val="000000"/>
                <w:sz w:val="22"/>
                <w:szCs w:val="22"/>
              </w:rPr>
            </w:pPr>
          </w:p>
        </w:tc>
        <w:tc>
          <w:tcPr>
            <w:tcW w:w="4568" w:type="dxa"/>
          </w:tcPr>
          <w:p w:rsidR="0032720A" w:rsidRDefault="0032720A">
            <w:p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Pygmalion</w:t>
            </w:r>
            <w:proofErr w:type="spellEnd"/>
            <w:r>
              <w:rPr>
                <w:rFonts w:ascii="Calibri" w:eastAsia="Calibri" w:hAnsi="Calibri" w:cs="Calibri"/>
                <w:color w:val="000000"/>
                <w:sz w:val="22"/>
                <w:szCs w:val="22"/>
              </w:rPr>
              <w:t xml:space="preserve"> loopbaanbegeleiding, P4People bvba</w:t>
            </w:r>
            <w:r w:rsidR="00A85B81">
              <w:rPr>
                <w:rFonts w:ascii="Calibri" w:eastAsia="Calibri" w:hAnsi="Calibri" w:cs="Calibri"/>
                <w:color w:val="000000"/>
                <w:sz w:val="22"/>
                <w:szCs w:val="22"/>
              </w:rPr>
              <w:t>,</w:t>
            </w:r>
          </w:p>
          <w:p w:rsidR="00554185" w:rsidRDefault="0032720A">
            <w:pPr>
              <w:pBdr>
                <w:top w:val="nil"/>
                <w:left w:val="nil"/>
                <w:bottom w:val="nil"/>
                <w:right w:val="nil"/>
                <w:between w:val="nil"/>
              </w:pBdr>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Ingelandgat</w:t>
            </w:r>
            <w:proofErr w:type="spellEnd"/>
            <w:r>
              <w:rPr>
                <w:rFonts w:ascii="Calibri" w:eastAsia="Calibri" w:hAnsi="Calibri" w:cs="Calibri"/>
                <w:color w:val="000000"/>
                <w:sz w:val="22"/>
                <w:szCs w:val="22"/>
              </w:rPr>
              <w:t xml:space="preserve"> 1 te Gent 9000</w:t>
            </w:r>
            <w:r w:rsidR="00A85B81">
              <w:rPr>
                <w:rFonts w:ascii="Calibri" w:eastAsia="Calibri" w:hAnsi="Calibri" w:cs="Calibri"/>
                <w:color w:val="000000"/>
                <w:sz w:val="22"/>
                <w:szCs w:val="22"/>
              </w:rPr>
              <w:t>, ondernemingsnummer:</w:t>
            </w:r>
            <w:r>
              <w:rPr>
                <w:rFonts w:ascii="Calibri" w:eastAsia="Calibri" w:hAnsi="Calibri" w:cs="Calibri"/>
                <w:color w:val="000000"/>
                <w:sz w:val="22"/>
                <w:szCs w:val="22"/>
              </w:rPr>
              <w:t xml:space="preserve"> BE0 892 364 564</w:t>
            </w:r>
          </w:p>
        </w:tc>
      </w:tr>
      <w:tr w:rsidR="00554185">
        <w:tc>
          <w:tcPr>
            <w:tcW w:w="4077" w:type="dxa"/>
          </w:tcPr>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32720A" w:rsidRDefault="0032720A">
            <w:pPr>
              <w:pBdr>
                <w:top w:val="nil"/>
                <w:left w:val="nil"/>
                <w:bottom w:val="nil"/>
                <w:right w:val="nil"/>
                <w:between w:val="nil"/>
              </w:pBdr>
              <w:jc w:val="both"/>
              <w:rPr>
                <w:rFonts w:ascii="Calibri" w:eastAsia="Calibri" w:hAnsi="Calibri" w:cs="Calibri"/>
                <w:color w:val="000000"/>
                <w:sz w:val="22"/>
                <w:szCs w:val="22"/>
              </w:rPr>
            </w:pPr>
          </w:p>
          <w:p w:rsidR="0032720A" w:rsidRDefault="0032720A">
            <w:pPr>
              <w:pBdr>
                <w:top w:val="nil"/>
                <w:left w:val="nil"/>
                <w:bottom w:val="nil"/>
                <w:right w:val="nil"/>
                <w:between w:val="nil"/>
              </w:pBdr>
              <w:jc w:val="both"/>
              <w:rPr>
                <w:rFonts w:ascii="Calibri" w:eastAsia="Calibri" w:hAnsi="Calibri" w:cs="Calibri"/>
                <w:color w:val="000000"/>
                <w:sz w:val="22"/>
                <w:szCs w:val="22"/>
              </w:rPr>
            </w:pPr>
          </w:p>
          <w:p w:rsidR="0032720A" w:rsidRDefault="0032720A">
            <w:pPr>
              <w:pBdr>
                <w:top w:val="nil"/>
                <w:left w:val="nil"/>
                <w:bottom w:val="nil"/>
                <w:right w:val="nil"/>
                <w:between w:val="nil"/>
              </w:pBdr>
              <w:jc w:val="both"/>
              <w:rPr>
                <w:rFonts w:ascii="Calibri" w:eastAsia="Calibri" w:hAnsi="Calibri" w:cs="Calibri"/>
                <w:color w:val="000000"/>
                <w:sz w:val="22"/>
                <w:szCs w:val="22"/>
              </w:rPr>
            </w:pPr>
          </w:p>
          <w:p w:rsidR="0032720A" w:rsidRDefault="0032720A">
            <w:pPr>
              <w:pBdr>
                <w:top w:val="nil"/>
                <w:left w:val="nil"/>
                <w:bottom w:val="nil"/>
                <w:right w:val="nil"/>
                <w:between w:val="nil"/>
              </w:pBdr>
              <w:jc w:val="both"/>
              <w:rPr>
                <w:rFonts w:ascii="Calibri" w:eastAsia="Calibri" w:hAnsi="Calibri" w:cs="Calibri"/>
                <w:color w:val="000000"/>
                <w:sz w:val="22"/>
                <w:szCs w:val="22"/>
              </w:rPr>
            </w:pPr>
          </w:p>
        </w:tc>
        <w:tc>
          <w:tcPr>
            <w:tcW w:w="567" w:type="dxa"/>
          </w:tcPr>
          <w:p w:rsidR="00554185" w:rsidRDefault="00554185">
            <w:pPr>
              <w:pBdr>
                <w:top w:val="nil"/>
                <w:left w:val="nil"/>
                <w:bottom w:val="nil"/>
                <w:right w:val="nil"/>
                <w:between w:val="nil"/>
              </w:pBdr>
              <w:jc w:val="both"/>
              <w:rPr>
                <w:rFonts w:ascii="Calibri" w:eastAsia="Calibri" w:hAnsi="Calibri" w:cs="Calibri"/>
                <w:color w:val="000000"/>
                <w:sz w:val="22"/>
                <w:szCs w:val="22"/>
              </w:rPr>
            </w:pPr>
          </w:p>
        </w:tc>
        <w:tc>
          <w:tcPr>
            <w:tcW w:w="4568" w:type="dxa"/>
          </w:tcPr>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A85B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Vertegenwoordigd door:</w:t>
            </w:r>
          </w:p>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554185">
            <w:pPr>
              <w:pBdr>
                <w:top w:val="nil"/>
                <w:left w:val="nil"/>
                <w:bottom w:val="nil"/>
                <w:right w:val="nil"/>
                <w:between w:val="nil"/>
              </w:pBdr>
              <w:jc w:val="both"/>
              <w:rPr>
                <w:rFonts w:ascii="Calibri" w:eastAsia="Calibri" w:hAnsi="Calibri" w:cs="Calibri"/>
                <w:color w:val="000000"/>
                <w:sz w:val="22"/>
                <w:szCs w:val="22"/>
              </w:rPr>
            </w:pPr>
          </w:p>
        </w:tc>
      </w:tr>
      <w:tr w:rsidR="00554185">
        <w:tc>
          <w:tcPr>
            <w:tcW w:w="4077" w:type="dxa"/>
          </w:tcPr>
          <w:p w:rsidR="00554185" w:rsidRDefault="00A85B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Hierna genoemd “</w:t>
            </w:r>
            <w:r>
              <w:rPr>
                <w:rFonts w:ascii="Calibri" w:eastAsia="Calibri" w:hAnsi="Calibri" w:cs="Calibri"/>
                <w:b/>
                <w:color w:val="000000"/>
                <w:sz w:val="22"/>
                <w:szCs w:val="22"/>
              </w:rPr>
              <w:t>klant</w:t>
            </w:r>
            <w:r>
              <w:rPr>
                <w:rFonts w:ascii="Calibri" w:eastAsia="Calibri" w:hAnsi="Calibri" w:cs="Calibri"/>
                <w:color w:val="000000"/>
                <w:sz w:val="22"/>
                <w:szCs w:val="22"/>
              </w:rPr>
              <w:t xml:space="preserve">” </w:t>
            </w:r>
          </w:p>
        </w:tc>
        <w:tc>
          <w:tcPr>
            <w:tcW w:w="567" w:type="dxa"/>
          </w:tcPr>
          <w:p w:rsidR="00554185" w:rsidRDefault="00554185">
            <w:pPr>
              <w:pBdr>
                <w:top w:val="nil"/>
                <w:left w:val="nil"/>
                <w:bottom w:val="nil"/>
                <w:right w:val="nil"/>
                <w:between w:val="nil"/>
              </w:pBdr>
              <w:jc w:val="both"/>
              <w:rPr>
                <w:rFonts w:ascii="Calibri" w:eastAsia="Calibri" w:hAnsi="Calibri" w:cs="Calibri"/>
                <w:color w:val="000000"/>
                <w:sz w:val="22"/>
                <w:szCs w:val="22"/>
              </w:rPr>
            </w:pPr>
          </w:p>
        </w:tc>
        <w:tc>
          <w:tcPr>
            <w:tcW w:w="4568" w:type="dxa"/>
          </w:tcPr>
          <w:p w:rsidR="00554185" w:rsidRDefault="00A85B81">
            <w:p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hierna</w:t>
            </w:r>
            <w:proofErr w:type="gramEnd"/>
            <w:r>
              <w:rPr>
                <w:rFonts w:ascii="Calibri" w:eastAsia="Calibri" w:hAnsi="Calibri" w:cs="Calibri"/>
                <w:color w:val="000000"/>
                <w:sz w:val="22"/>
                <w:szCs w:val="22"/>
              </w:rPr>
              <w:t xml:space="preserve"> genoemd “</w:t>
            </w:r>
            <w:r>
              <w:rPr>
                <w:rFonts w:ascii="Calibri" w:eastAsia="Calibri" w:hAnsi="Calibri" w:cs="Calibri"/>
                <w:b/>
                <w:color w:val="000000"/>
                <w:sz w:val="22"/>
                <w:szCs w:val="22"/>
              </w:rPr>
              <w:t>de gemandateerde onderneming</w:t>
            </w:r>
            <w:r>
              <w:rPr>
                <w:rFonts w:ascii="Calibri" w:eastAsia="Calibri" w:hAnsi="Calibri" w:cs="Calibri"/>
                <w:color w:val="000000"/>
                <w:sz w:val="22"/>
                <w:szCs w:val="22"/>
              </w:rPr>
              <w:t>”</w:t>
            </w:r>
          </w:p>
        </w:tc>
      </w:tr>
    </w:tbl>
    <w:p w:rsidR="00554185" w:rsidRDefault="00554185">
      <w:pPr>
        <w:pBdr>
          <w:top w:val="nil"/>
          <w:left w:val="nil"/>
          <w:bottom w:val="nil"/>
          <w:right w:val="nil"/>
          <w:between w:val="nil"/>
        </w:pBdr>
        <w:jc w:val="both"/>
        <w:rPr>
          <w:rFonts w:ascii="Calibri" w:eastAsia="Calibri" w:hAnsi="Calibri" w:cs="Calibri"/>
          <w:color w:val="000000"/>
          <w:sz w:val="22"/>
          <w:szCs w:val="22"/>
        </w:rPr>
      </w:pPr>
    </w:p>
    <w:p w:rsidR="00554185" w:rsidRDefault="00A85B81">
      <w:pPr>
        <w:pBdr>
          <w:top w:val="nil"/>
          <w:left w:val="nil"/>
          <w:bottom w:val="nil"/>
          <w:right w:val="nil"/>
          <w:between w:val="nil"/>
        </w:pBdr>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wordt</w:t>
      </w:r>
      <w:proofErr w:type="gramEnd"/>
      <w:r>
        <w:rPr>
          <w:rFonts w:ascii="Calibri" w:eastAsia="Calibri" w:hAnsi="Calibri" w:cs="Calibri"/>
          <w:color w:val="000000"/>
          <w:sz w:val="22"/>
          <w:szCs w:val="22"/>
        </w:rPr>
        <w:t xml:space="preserve"> overeengekomen wat volgt:</w:t>
      </w:r>
    </w:p>
    <w:p w:rsidR="00BF2ACD" w:rsidRDefault="00BF2ACD">
      <w:pPr>
        <w:pBdr>
          <w:top w:val="nil"/>
          <w:left w:val="nil"/>
          <w:bottom w:val="nil"/>
          <w:right w:val="nil"/>
          <w:between w:val="nil"/>
        </w:pBdr>
        <w:jc w:val="both"/>
        <w:rPr>
          <w:rFonts w:ascii="Calibri" w:eastAsia="Calibri" w:hAnsi="Calibri" w:cs="Calibri"/>
          <w:color w:val="000000"/>
          <w:sz w:val="22"/>
          <w:szCs w:val="22"/>
        </w:rPr>
      </w:pP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1: Situering</w:t>
      </w: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color w:val="000000"/>
          <w:sz w:val="15"/>
          <w:szCs w:val="15"/>
        </w:rPr>
        <w:t>Deze overeenkomst wordt gesloten in uitvoering van artikel 4, §1, 3° van het besluit van de Vlaamse regering van 17/05/2013</w:t>
      </w:r>
      <w:r w:rsidRPr="00106B3D">
        <w:rPr>
          <w:rFonts w:ascii="Calibri" w:eastAsia="Calibri" w:hAnsi="Calibri" w:cs="Calibri"/>
          <w:b/>
          <w:color w:val="000000"/>
          <w:sz w:val="15"/>
          <w:szCs w:val="15"/>
        </w:rPr>
        <w:t xml:space="preserve"> </w:t>
      </w:r>
      <w:r w:rsidRPr="00106B3D">
        <w:rPr>
          <w:rFonts w:ascii="Calibri" w:eastAsia="Calibri" w:hAnsi="Calibri" w:cs="Calibri"/>
          <w:color w:val="000000"/>
          <w:sz w:val="15"/>
          <w:szCs w:val="15"/>
        </w:rPr>
        <w:t xml:space="preserve">betreffende de loopbaanbegeleiding en de wijziging van diverse bepalingen van dit </w:t>
      </w:r>
      <w:proofErr w:type="gramStart"/>
      <w:r w:rsidRPr="00106B3D">
        <w:rPr>
          <w:rFonts w:ascii="Calibri" w:eastAsia="Calibri" w:hAnsi="Calibri" w:cs="Calibri"/>
          <w:color w:val="000000"/>
          <w:sz w:val="15"/>
          <w:szCs w:val="15"/>
        </w:rPr>
        <w:t>besluit;  en</w:t>
      </w:r>
      <w:proofErr w:type="gramEnd"/>
      <w:r w:rsidRPr="00106B3D">
        <w:rPr>
          <w:rFonts w:ascii="Calibri" w:eastAsia="Calibri" w:hAnsi="Calibri" w:cs="Calibri"/>
          <w:color w:val="000000"/>
          <w:sz w:val="15"/>
          <w:szCs w:val="15"/>
        </w:rPr>
        <w:t xml:space="preserve"> punt 18 van de bijlage bij dit besluit.</w:t>
      </w:r>
    </w:p>
    <w:p w:rsidR="00554185" w:rsidRPr="00106B3D" w:rsidRDefault="00554185">
      <w:pPr>
        <w:pBdr>
          <w:top w:val="nil"/>
          <w:left w:val="nil"/>
          <w:bottom w:val="nil"/>
          <w:right w:val="nil"/>
          <w:between w:val="nil"/>
        </w:pBdr>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2: Doelstelling van de loopbaanbegeleiding</w:t>
      </w: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De doelstelling is om de klant een professionele ondersteuning te bieden bij het nemen van loopbaankeuzes en –beslissingen naar aanleiding van zijn loopbaanvraag. Tijdens de loopbaanbegeleiding leert de klant zijn/haar loopbaancompetenties ontdekken, versterken of ontwikkelen </w:t>
      </w:r>
      <w:proofErr w:type="gramStart"/>
      <w:r w:rsidRPr="00106B3D">
        <w:rPr>
          <w:rFonts w:ascii="Calibri" w:eastAsia="Calibri" w:hAnsi="Calibri" w:cs="Calibri"/>
          <w:color w:val="000000"/>
          <w:sz w:val="15"/>
          <w:szCs w:val="15"/>
        </w:rPr>
        <w:t>zodat  hij</w:t>
      </w:r>
      <w:proofErr w:type="gramEnd"/>
      <w:r w:rsidRPr="00106B3D">
        <w:rPr>
          <w:rFonts w:ascii="Calibri" w:eastAsia="Calibri" w:hAnsi="Calibri" w:cs="Calibri"/>
          <w:color w:val="000000"/>
          <w:sz w:val="15"/>
          <w:szCs w:val="15"/>
        </w:rPr>
        <w:t>/zij een beter inzicht verwerft in zijn/haar (levens)loopbaan en bijgevolg een meer concrete visie op zijn/haar toekomst krijgt.</w:t>
      </w:r>
    </w:p>
    <w:p w:rsidR="00554185" w:rsidRPr="00106B3D" w:rsidRDefault="00554185">
      <w:pPr>
        <w:pBdr>
          <w:top w:val="nil"/>
          <w:left w:val="nil"/>
          <w:bottom w:val="nil"/>
          <w:right w:val="nil"/>
          <w:between w:val="nil"/>
        </w:pBdr>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3: Dienstverlening</w:t>
      </w: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Loopbaanbegeleiding is de professionele ondersteuning bij het opmaken van een persoonlijk ontwikkelplan (POP), zodat de klant zelf zijn/haar eigen loopbaan in handen kan nemen. Het persoonlijk ontwikkelingsplan stelt de reflecties over de loopbaan, de competenties en het benoemen van een loopbaandoel </w:t>
      </w:r>
      <w:proofErr w:type="gramStart"/>
      <w:r w:rsidRPr="00106B3D">
        <w:rPr>
          <w:rFonts w:ascii="Calibri" w:eastAsia="Calibri" w:hAnsi="Calibri" w:cs="Calibri"/>
          <w:color w:val="000000"/>
          <w:sz w:val="15"/>
          <w:szCs w:val="15"/>
        </w:rPr>
        <w:t>centraal  en</w:t>
      </w:r>
      <w:proofErr w:type="gramEnd"/>
      <w:r w:rsidRPr="00106B3D">
        <w:rPr>
          <w:rFonts w:ascii="Calibri" w:eastAsia="Calibri" w:hAnsi="Calibri" w:cs="Calibri"/>
          <w:color w:val="000000"/>
          <w:sz w:val="15"/>
          <w:szCs w:val="15"/>
        </w:rPr>
        <w:t xml:space="preserve"> kan resulteren in de opmaak van een actieplan ter versterking van de eigen arbeidsmarktpositionering. De klant engageert zich om de opgemaakte POP aan de gemandateerde onderneming te bezorgen.</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klant heeft recht op maximaal twee loopbaancheques om de zes jaar. Voor de eerste loopbaancheque heeft de klant recht op vier uur pro</w:t>
      </w:r>
      <w:r w:rsidRPr="00106B3D">
        <w:rPr>
          <w:rFonts w:ascii="Calibri" w:eastAsia="Calibri" w:hAnsi="Calibri" w:cs="Calibri"/>
          <w:sz w:val="15"/>
          <w:szCs w:val="15"/>
        </w:rPr>
        <w:t xml:space="preserve">fessionele begeleiding, voor de tweede loopbaancheque drie uur. </w:t>
      </w:r>
      <w:r w:rsidRPr="00106B3D">
        <w:rPr>
          <w:rFonts w:ascii="Calibri" w:eastAsia="Calibri" w:hAnsi="Calibri" w:cs="Calibri"/>
          <w:color w:val="000000"/>
          <w:sz w:val="15"/>
          <w:szCs w:val="15"/>
        </w:rPr>
        <w:t>Tussen twee gesprekken mag er maximaal 12 maanden verlopen.</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Deze begeleiding gebeurt in het Nederlands en vindt hoofdzakelijk individueel plaats, verspreid over minimaal twee dagen. Vooraf wordt de klant duidelijk geïnformeerd over de aanvang, de planning, de procedure, de </w:t>
      </w:r>
      <w:proofErr w:type="gramStart"/>
      <w:r w:rsidRPr="00106B3D">
        <w:rPr>
          <w:rFonts w:ascii="Calibri" w:eastAsia="Calibri" w:hAnsi="Calibri" w:cs="Calibri"/>
          <w:color w:val="000000"/>
          <w:sz w:val="15"/>
          <w:szCs w:val="15"/>
        </w:rPr>
        <w:t>inhoud  en</w:t>
      </w:r>
      <w:proofErr w:type="gramEnd"/>
      <w:r w:rsidRPr="00106B3D">
        <w:rPr>
          <w:rFonts w:ascii="Calibri" w:eastAsia="Calibri" w:hAnsi="Calibri" w:cs="Calibri"/>
          <w:color w:val="000000"/>
          <w:sz w:val="15"/>
          <w:szCs w:val="15"/>
        </w:rPr>
        <w:t xml:space="preserve"> het verloop van de loopbaanbegeleiding.  </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manier waarop dez</w:t>
      </w:r>
      <w:r w:rsidRPr="00106B3D">
        <w:rPr>
          <w:rFonts w:ascii="Calibri" w:eastAsia="Calibri" w:hAnsi="Calibri" w:cs="Calibri"/>
          <w:sz w:val="15"/>
          <w:szCs w:val="15"/>
        </w:rPr>
        <w:t>e uren begeleiding gespreid wordt naar frequentie en duur alsook de inhoud en de gebruikte methodiek wordt bepaald in ov</w:t>
      </w:r>
      <w:r w:rsidRPr="00106B3D">
        <w:rPr>
          <w:rFonts w:ascii="Calibri" w:eastAsia="Calibri" w:hAnsi="Calibri" w:cs="Calibri"/>
          <w:color w:val="000000"/>
          <w:sz w:val="15"/>
          <w:szCs w:val="15"/>
        </w:rPr>
        <w:t xml:space="preserve">erleg tussen de klant en de loopbaanbegeleider. </w:t>
      </w:r>
      <w:r w:rsidRPr="00106B3D">
        <w:rPr>
          <w:rFonts w:ascii="Calibri" w:eastAsia="Calibri" w:hAnsi="Calibri" w:cs="Calibri"/>
          <w:sz w:val="15"/>
          <w:szCs w:val="15"/>
        </w:rPr>
        <w:t>De infomomenten maken geen deel uit van de geregistreerde uren van de begeleiding maar zijn wel inbegrepen in de dienstverlening met de loopbaancheque</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gemandateerde onderneming verstrekt tot een jaar na de beëindiging van het afsluitende gesprek nazorg aan de klant</w:t>
      </w:r>
      <w:r w:rsidRPr="00106B3D">
        <w:rPr>
          <w:rFonts w:ascii="Calibri" w:eastAsia="Calibri" w:hAnsi="Calibri" w:cs="Calibri"/>
          <w:color w:val="FF0000"/>
          <w:sz w:val="15"/>
          <w:szCs w:val="15"/>
        </w:rPr>
        <w:t xml:space="preserve"> </w:t>
      </w:r>
      <w:r w:rsidRPr="00106B3D">
        <w:rPr>
          <w:rFonts w:ascii="Calibri" w:eastAsia="Calibri" w:hAnsi="Calibri" w:cs="Calibri"/>
          <w:color w:val="000000"/>
          <w:sz w:val="15"/>
          <w:szCs w:val="15"/>
        </w:rPr>
        <w:t>die daarom vraagt. Onder nazorg wordt verstaan de behandeling van bijkomende vragen met het oog op de versterking van de re</w:t>
      </w:r>
      <w:r w:rsidRPr="00106B3D">
        <w:rPr>
          <w:rFonts w:ascii="Calibri" w:eastAsia="Calibri" w:hAnsi="Calibri" w:cs="Calibri"/>
          <w:sz w:val="15"/>
          <w:szCs w:val="15"/>
        </w:rPr>
        <w:t>alisatiegraad van het persoonlijk ontwikkelingsplan.  De nazorg maakt geen deel uit van de geregistreerde uren van de begeleiding (vier uur voor de eerste loopbaancheque en drie uur voor de tweede loopbaancheque) maar is wel inbegrepen in de dienstverlening met de loopbaancheque. De nazorg omvat maximaal 30 minuten per pakket of maximum 1 uur per 7 u</w:t>
      </w:r>
      <w:r w:rsidRPr="00106B3D">
        <w:rPr>
          <w:rFonts w:ascii="Calibri" w:eastAsia="Calibri" w:hAnsi="Calibri" w:cs="Calibri"/>
          <w:color w:val="000000"/>
          <w:sz w:val="15"/>
          <w:szCs w:val="15"/>
        </w:rPr>
        <w:t>ur begeleiding.  De vorm van deze nazorg is vrij te bepalen (gesprek, telefonisch, e-coaching, …).</w:t>
      </w:r>
    </w:p>
    <w:p w:rsidR="00554185" w:rsidRPr="00106B3D" w:rsidRDefault="00554185">
      <w:pPr>
        <w:pBdr>
          <w:top w:val="nil"/>
          <w:left w:val="nil"/>
          <w:bottom w:val="nil"/>
          <w:right w:val="nil"/>
          <w:between w:val="nil"/>
        </w:pBdr>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De klant ontvangt van de gemandateerde onderneming een gepersonaliseerd attest als een </w:t>
      </w:r>
      <w:r w:rsidRPr="00106B3D">
        <w:rPr>
          <w:rFonts w:ascii="Calibri" w:eastAsia="Calibri" w:hAnsi="Calibri" w:cs="Calibri"/>
          <w:sz w:val="15"/>
          <w:szCs w:val="15"/>
        </w:rPr>
        <w:t>loopbaan</w:t>
      </w:r>
      <w:r w:rsidRPr="00106B3D">
        <w:rPr>
          <w:rFonts w:ascii="Calibri" w:eastAsia="Calibri" w:hAnsi="Calibri" w:cs="Calibri"/>
          <w:color w:val="000000"/>
          <w:sz w:val="15"/>
          <w:szCs w:val="15"/>
        </w:rPr>
        <w:t>gerichte opleiding deel uitmaakt van zijn persoonlijk ontwikkelingsplan. Met dit attest kan de klant opleiding</w:t>
      </w:r>
      <w:r w:rsidRPr="00106B3D">
        <w:rPr>
          <w:rFonts w:ascii="Calibri" w:eastAsia="Calibri" w:hAnsi="Calibri" w:cs="Calibri"/>
          <w:sz w:val="15"/>
          <w:szCs w:val="15"/>
        </w:rPr>
        <w:t>sverlof, -krediet en -cheques</w:t>
      </w:r>
      <w:r w:rsidRPr="00106B3D">
        <w:rPr>
          <w:rFonts w:ascii="Calibri" w:eastAsia="Calibri" w:hAnsi="Calibri" w:cs="Calibri"/>
          <w:color w:val="000000"/>
          <w:sz w:val="15"/>
          <w:szCs w:val="15"/>
        </w:rPr>
        <w:t xml:space="preserve"> aanvragen voor die specifieke opleiding vermeld in zijn POP. </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klant kan in Mijn loopbaan de registraties van de loopbaanbegeleider nagaan.</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klant heeft het recht om op elk ogenblik</w:t>
      </w:r>
      <w:r w:rsidRPr="00106B3D">
        <w:rPr>
          <w:rFonts w:ascii="Calibri" w:eastAsia="Calibri" w:hAnsi="Calibri" w:cs="Calibri"/>
          <w:color w:val="FF0000"/>
          <w:sz w:val="15"/>
          <w:szCs w:val="15"/>
        </w:rPr>
        <w:t xml:space="preserve"> </w:t>
      </w:r>
      <w:r w:rsidRPr="00106B3D">
        <w:rPr>
          <w:rFonts w:ascii="Calibri" w:eastAsia="Calibri" w:hAnsi="Calibri" w:cs="Calibri"/>
          <w:color w:val="000000"/>
          <w:sz w:val="15"/>
          <w:szCs w:val="15"/>
        </w:rPr>
        <w:t xml:space="preserve">de begeleiding stop te zetten.  Het centrum kan de begeleiding langs zijn kant enkel stopzetten mits gegronde reden en na afstemmen met de </w:t>
      </w:r>
      <w:r w:rsidRPr="00106B3D">
        <w:rPr>
          <w:rFonts w:ascii="Calibri" w:eastAsia="Calibri" w:hAnsi="Calibri" w:cs="Calibri"/>
          <w:sz w:val="15"/>
          <w:szCs w:val="15"/>
        </w:rPr>
        <w:t xml:space="preserve">contactpersoon </w:t>
      </w:r>
      <w:r w:rsidRPr="00106B3D">
        <w:rPr>
          <w:rFonts w:ascii="Calibri" w:eastAsia="Calibri" w:hAnsi="Calibri" w:cs="Calibri"/>
          <w:color w:val="000000"/>
          <w:sz w:val="15"/>
          <w:szCs w:val="15"/>
        </w:rPr>
        <w:t>van VDAB.</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Indien de klant niet aanwezig kan zijn op de afgesproken datum of uur, verwittigt hij/zij de loopbaanbegeleider zo snel mogelijk en dit ten laatste 1 werkdag voorafgaand aan de afspraak.</w:t>
      </w:r>
    </w:p>
    <w:p w:rsidR="00554185" w:rsidRDefault="00554185">
      <w:pPr>
        <w:pBdr>
          <w:top w:val="nil"/>
          <w:left w:val="nil"/>
          <w:bottom w:val="nil"/>
          <w:right w:val="nil"/>
          <w:between w:val="nil"/>
        </w:pBdr>
        <w:jc w:val="both"/>
        <w:rPr>
          <w:rFonts w:ascii="Calibri" w:eastAsia="Calibri" w:hAnsi="Calibri" w:cs="Calibri"/>
          <w:color w:val="000000"/>
          <w:sz w:val="15"/>
          <w:szCs w:val="15"/>
        </w:rPr>
      </w:pPr>
    </w:p>
    <w:p w:rsidR="00106B3D" w:rsidRPr="00106B3D" w:rsidRDefault="00106B3D">
      <w:pPr>
        <w:pBdr>
          <w:top w:val="nil"/>
          <w:left w:val="nil"/>
          <w:bottom w:val="nil"/>
          <w:right w:val="nil"/>
          <w:between w:val="nil"/>
        </w:pBdr>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b/>
          <w:color w:val="000000"/>
          <w:sz w:val="15"/>
          <w:szCs w:val="15"/>
        </w:rPr>
        <w:lastRenderedPageBreak/>
        <w:t>Artikel 4: Financiële bijdrage</w:t>
      </w: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De klant vraagt een loopbaancheque aan bij de VDAB via Mijn Loopbaan. De kosten van deze loopbaanbegeleiding bedragen veertig euro per loopbaancheque. </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Bij vroegtijdige stopzetting van het pakket kan de eigen bijdrage in geen geval teruggevorderd worden, ook niet gedeeltelijk.</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klant is geen enkele andere</w:t>
      </w:r>
      <w:r w:rsidRPr="00106B3D">
        <w:rPr>
          <w:rFonts w:ascii="Calibri" w:eastAsia="Calibri" w:hAnsi="Calibri" w:cs="Calibri"/>
          <w:color w:val="FF0000"/>
          <w:sz w:val="15"/>
          <w:szCs w:val="15"/>
        </w:rPr>
        <w:t xml:space="preserve"> </w:t>
      </w:r>
      <w:r w:rsidRPr="00106B3D">
        <w:rPr>
          <w:rFonts w:ascii="Calibri" w:eastAsia="Calibri" w:hAnsi="Calibri" w:cs="Calibri"/>
          <w:color w:val="000000"/>
          <w:sz w:val="15"/>
          <w:szCs w:val="15"/>
        </w:rPr>
        <w:t>geldelijke bijdrage verschuldigd aan de gemandateerde onderneming.</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5: Gebruik van de loopbaancheque</w:t>
      </w:r>
    </w:p>
    <w:p w:rsidR="00554185" w:rsidRPr="00106B3D" w:rsidRDefault="00A85B81">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Met deze overeenkomst kent de klant zijn loopbaancheque toe aan de gemandateerde onderneming.  De klant verbindt zich ertoe deze loopbaancheque niet meer toe te kennen aan een ander loopbaancentrum.</w:t>
      </w:r>
    </w:p>
    <w:p w:rsidR="00554185" w:rsidRPr="00106B3D" w:rsidRDefault="00554185">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BF2ACD" w:rsidRPr="00106B3D" w:rsidRDefault="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De klant vraagt de loopbaancheque aan op eigen verzoek en eigen initiatief.  </w:t>
      </w:r>
    </w:p>
    <w:p w:rsidR="00554185" w:rsidRPr="00106B3D" w:rsidRDefault="00554185"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De loopbaancheque kan enkel gebruikt worden in het kader van loopbaanbegeleiding en niet </w:t>
      </w:r>
      <w:proofErr w:type="gramStart"/>
      <w:r w:rsidRPr="00106B3D">
        <w:rPr>
          <w:rFonts w:ascii="Calibri" w:eastAsia="Calibri" w:hAnsi="Calibri" w:cs="Calibri"/>
          <w:color w:val="000000"/>
          <w:sz w:val="15"/>
          <w:szCs w:val="15"/>
        </w:rPr>
        <w:t>voor  andere</w:t>
      </w:r>
      <w:proofErr w:type="gramEnd"/>
      <w:r w:rsidRPr="00106B3D">
        <w:rPr>
          <w:rFonts w:ascii="Calibri" w:eastAsia="Calibri" w:hAnsi="Calibri" w:cs="Calibri"/>
          <w:color w:val="000000"/>
          <w:sz w:val="15"/>
          <w:szCs w:val="15"/>
        </w:rPr>
        <w:t xml:space="preserve"> dienstverlening zoals outplacement, opleiding, vorming, training, </w:t>
      </w:r>
      <w:proofErr w:type="spellStart"/>
      <w:r w:rsidRPr="00106B3D">
        <w:rPr>
          <w:rFonts w:ascii="Calibri" w:eastAsia="Calibri" w:hAnsi="Calibri" w:cs="Calibri"/>
          <w:color w:val="000000"/>
          <w:sz w:val="15"/>
          <w:szCs w:val="15"/>
        </w:rPr>
        <w:t>jobcoaching</w:t>
      </w:r>
      <w:proofErr w:type="spellEnd"/>
      <w:r w:rsidRPr="00106B3D">
        <w:rPr>
          <w:rFonts w:ascii="Calibri" w:eastAsia="Calibri" w:hAnsi="Calibri" w:cs="Calibri"/>
          <w:color w:val="000000"/>
          <w:sz w:val="15"/>
          <w:szCs w:val="15"/>
        </w:rPr>
        <w:t>, therapie …</w:t>
      </w:r>
    </w:p>
    <w:p w:rsidR="00554185" w:rsidRPr="00106B3D" w:rsidRDefault="00554185"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Indien de loopbaanbegeleiding gestart werd voordat de klant de loopbaancheque ontvangen heeft en de klant blijkt geen recht te hebben, vervalt deze overeenkomst. De gemandateerde onderneming ontvangt voor de reeds gepresteerde uren in dat geval geen vergoeding.</w:t>
      </w:r>
    </w:p>
    <w:p w:rsidR="00554185" w:rsidRPr="00106B3D" w:rsidRDefault="00554185"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6: Privacy</w:t>
      </w: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De gegevens die het loopbaancentrum over de burger van VDAB verkrijgt en verzamelt, mogen enkel gebruikt worden in het kader van de dienstverlening rond de loopbaancheque.</w:t>
      </w:r>
    </w:p>
    <w:p w:rsidR="00BF2ACD"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Het loopbaancentrum zal in opdracht van VDAB en conform de </w:t>
      </w:r>
      <w:proofErr w:type="spellStart"/>
      <w:r w:rsidRPr="00106B3D">
        <w:rPr>
          <w:rFonts w:ascii="Calibri" w:eastAsia="Calibri" w:hAnsi="Calibri" w:cs="Calibri"/>
          <w:color w:val="000000"/>
          <w:sz w:val="15"/>
          <w:szCs w:val="15"/>
        </w:rPr>
        <w:t>de</w:t>
      </w:r>
      <w:proofErr w:type="spellEnd"/>
      <w:r w:rsidRPr="00106B3D">
        <w:rPr>
          <w:rFonts w:ascii="Calibri" w:eastAsia="Calibri" w:hAnsi="Calibri" w:cs="Calibri"/>
          <w:color w:val="000000"/>
          <w:sz w:val="15"/>
          <w:szCs w:val="15"/>
        </w:rPr>
        <w:t xml:space="preserve"> Algemene Verordening Gegevensbescherming (AVG of GDPR) de loopbaanvraag van de burger inventariseren en het POP bewaren in het kader van controle van de dienstverlening.</w:t>
      </w: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br/>
        <w:t>De verwerkersovereenkomst die het loopbaancentrum moet ondertekenen, bevat verdere afspraken rond gegevensbescherming in het kader van loopbaanbegeleiding.  </w:t>
      </w:r>
    </w:p>
    <w:p w:rsidR="00554185" w:rsidRPr="00106B3D" w:rsidRDefault="00554185" w:rsidP="00BF2ACD">
      <w:pPr>
        <w:pBdr>
          <w:top w:val="nil"/>
          <w:left w:val="nil"/>
          <w:bottom w:val="nil"/>
          <w:right w:val="nil"/>
          <w:between w:val="nil"/>
        </w:pBdr>
        <w:jc w:val="both"/>
        <w:rPr>
          <w:rFonts w:ascii="Calibri" w:eastAsia="Calibri" w:hAnsi="Calibri" w:cs="Calibri"/>
          <w:color w:val="000000"/>
          <w:sz w:val="15"/>
          <w:szCs w:val="15"/>
          <w:highlight w:val="yellow"/>
        </w:rPr>
      </w:pPr>
    </w:p>
    <w:p w:rsidR="00554185" w:rsidRPr="00106B3D" w:rsidRDefault="00A85B81" w:rsidP="00BF2ACD">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7: Gedragscode</w:t>
      </w:r>
    </w:p>
    <w:p w:rsidR="00554185" w:rsidRPr="00106B3D" w:rsidRDefault="00A85B81" w:rsidP="00BF2ACD">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color w:val="000000"/>
          <w:sz w:val="15"/>
          <w:szCs w:val="15"/>
        </w:rPr>
        <w:t>De gedragscode die door de loopbaanbegeleiders moet toegepast worden is in bijlage bij deze overeenkomst gevoegd.</w:t>
      </w:r>
    </w:p>
    <w:p w:rsidR="00554185" w:rsidRPr="00106B3D" w:rsidRDefault="00554185" w:rsidP="00BF2ACD">
      <w:pPr>
        <w:pBdr>
          <w:top w:val="nil"/>
          <w:left w:val="nil"/>
          <w:bottom w:val="nil"/>
          <w:right w:val="nil"/>
          <w:between w:val="nil"/>
        </w:pBdr>
        <w:jc w:val="both"/>
        <w:rPr>
          <w:rFonts w:ascii="Calibri" w:eastAsia="Calibri" w:hAnsi="Calibri" w:cs="Calibri"/>
          <w:color w:val="000000"/>
          <w:sz w:val="15"/>
          <w:szCs w:val="15"/>
        </w:rPr>
      </w:pPr>
    </w:p>
    <w:p w:rsidR="00554185" w:rsidRPr="00106B3D" w:rsidRDefault="00A85B81" w:rsidP="00BF2ACD">
      <w:pPr>
        <w:pBdr>
          <w:top w:val="nil"/>
          <w:left w:val="nil"/>
          <w:bottom w:val="nil"/>
          <w:right w:val="nil"/>
          <w:between w:val="nil"/>
        </w:pBdr>
        <w:jc w:val="both"/>
        <w:rPr>
          <w:rFonts w:ascii="Calibri" w:eastAsia="Calibri" w:hAnsi="Calibri" w:cs="Calibri"/>
          <w:color w:val="000000"/>
          <w:sz w:val="15"/>
          <w:szCs w:val="15"/>
        </w:rPr>
      </w:pPr>
      <w:r w:rsidRPr="00106B3D">
        <w:rPr>
          <w:rFonts w:ascii="Calibri" w:eastAsia="Calibri" w:hAnsi="Calibri" w:cs="Calibri"/>
          <w:b/>
          <w:color w:val="000000"/>
          <w:sz w:val="15"/>
          <w:szCs w:val="15"/>
        </w:rPr>
        <w:t>Artikel 8: Klachtenprocedure</w:t>
      </w: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sz w:val="15"/>
          <w:szCs w:val="15"/>
        </w:rPr>
      </w:pPr>
      <w:r w:rsidRPr="00106B3D">
        <w:rPr>
          <w:rFonts w:ascii="Calibri" w:eastAsia="Calibri" w:hAnsi="Calibri" w:cs="Calibri"/>
          <w:color w:val="000000"/>
          <w:sz w:val="15"/>
          <w:szCs w:val="15"/>
        </w:rPr>
        <w:t xml:space="preserve">De klant kan een klacht i.v.m. gesubsidieerde loopbaanbegeleiding indienen bij de gemandateerde onderneming zelf via </w:t>
      </w:r>
      <w:r w:rsidR="00E1681E" w:rsidRPr="00106B3D">
        <w:rPr>
          <w:rFonts w:ascii="Calibri" w:eastAsia="Calibri" w:hAnsi="Calibri" w:cs="Calibri"/>
          <w:color w:val="000000"/>
          <w:sz w:val="15"/>
          <w:szCs w:val="15"/>
          <w:u w:val="single"/>
        </w:rPr>
        <w:t>vragen@pygmalion2.b</w:t>
      </w:r>
      <w:r w:rsidR="00E1681E" w:rsidRPr="00106B3D">
        <w:rPr>
          <w:rFonts w:ascii="Calibri" w:eastAsia="Calibri" w:hAnsi="Calibri" w:cs="Calibri"/>
          <w:color w:val="000000"/>
          <w:sz w:val="15"/>
          <w:szCs w:val="15"/>
        </w:rPr>
        <w:t>e</w:t>
      </w:r>
      <w:r w:rsidRPr="00106B3D">
        <w:rPr>
          <w:rFonts w:ascii="Calibri" w:eastAsia="Calibri" w:hAnsi="Calibri" w:cs="Calibri"/>
          <w:color w:val="000000"/>
          <w:sz w:val="15"/>
          <w:szCs w:val="15"/>
        </w:rPr>
        <w:t xml:space="preserve"> of bij VDAB, via de website (klachtenformulier</w:t>
      </w:r>
      <w:r w:rsidRPr="00106B3D">
        <w:rPr>
          <w:rFonts w:ascii="Calibri" w:eastAsia="Calibri" w:hAnsi="Calibri" w:cs="Calibri"/>
          <w:sz w:val="15"/>
          <w:szCs w:val="15"/>
        </w:rPr>
        <w:t xml:space="preserve">,  </w:t>
      </w:r>
      <w:hyperlink r:id="rId6">
        <w:r w:rsidRPr="00106B3D">
          <w:rPr>
            <w:rFonts w:ascii="Calibri" w:eastAsia="Calibri" w:hAnsi="Calibri" w:cs="Calibri"/>
            <w:sz w:val="15"/>
            <w:szCs w:val="15"/>
          </w:rPr>
          <w:t>http://www.vdab.be/vdab/klachten.shtml</w:t>
        </w:r>
      </w:hyperlink>
      <w:r w:rsidRPr="00106B3D">
        <w:rPr>
          <w:rFonts w:ascii="Calibri" w:eastAsia="Calibri" w:hAnsi="Calibri" w:cs="Calibri"/>
          <w:color w:val="000000"/>
          <w:sz w:val="15"/>
          <w:szCs w:val="15"/>
        </w:rPr>
        <w:t>)</w:t>
      </w:r>
      <w:r w:rsidRPr="00106B3D">
        <w:rPr>
          <w:rFonts w:ascii="Calibri" w:eastAsia="Calibri" w:hAnsi="Calibri" w:cs="Calibri"/>
          <w:sz w:val="15"/>
          <w:szCs w:val="15"/>
        </w:rPr>
        <w:t>.</w:t>
      </w:r>
    </w:p>
    <w:p w:rsidR="00554185" w:rsidRPr="00106B3D" w:rsidRDefault="00A85B81" w:rsidP="00BF2ACD">
      <w:pPr>
        <w:pBdr>
          <w:top w:val="nil"/>
          <w:left w:val="nil"/>
          <w:bottom w:val="nil"/>
          <w:right w:val="nil"/>
          <w:between w:val="nil"/>
        </w:pBdr>
        <w:tabs>
          <w:tab w:val="left" w:pos="284"/>
          <w:tab w:val="left" w:pos="567"/>
          <w:tab w:val="left" w:pos="851"/>
          <w:tab w:val="center" w:pos="4394"/>
          <w:tab w:val="right" w:pos="8789"/>
        </w:tabs>
        <w:spacing w:line="276" w:lineRule="auto"/>
        <w:jc w:val="both"/>
        <w:rPr>
          <w:rFonts w:ascii="Calibri" w:eastAsia="Calibri" w:hAnsi="Calibri" w:cs="Calibri"/>
          <w:color w:val="000000"/>
          <w:sz w:val="15"/>
          <w:szCs w:val="15"/>
        </w:rPr>
      </w:pPr>
      <w:r w:rsidRPr="00106B3D">
        <w:rPr>
          <w:rFonts w:ascii="Calibri" w:eastAsia="Calibri" w:hAnsi="Calibri" w:cs="Calibri"/>
          <w:color w:val="000000"/>
          <w:sz w:val="15"/>
          <w:szCs w:val="15"/>
        </w:rPr>
        <w:t xml:space="preserve">Als derde mogelijkheid kan de klant klacht indienen bij de Vlaamse </w:t>
      </w:r>
      <w:proofErr w:type="spellStart"/>
      <w:r w:rsidRPr="00106B3D">
        <w:rPr>
          <w:rFonts w:ascii="Calibri" w:eastAsia="Calibri" w:hAnsi="Calibri" w:cs="Calibri"/>
          <w:color w:val="000000"/>
          <w:sz w:val="15"/>
          <w:szCs w:val="15"/>
        </w:rPr>
        <w:t>Ombudsdienst</w:t>
      </w:r>
      <w:proofErr w:type="spellEnd"/>
      <w:r w:rsidRPr="00106B3D">
        <w:rPr>
          <w:rFonts w:ascii="Calibri" w:eastAsia="Calibri" w:hAnsi="Calibri" w:cs="Calibri"/>
          <w:color w:val="000000"/>
          <w:sz w:val="15"/>
          <w:szCs w:val="15"/>
        </w:rPr>
        <w:t xml:space="preserve"> via het klachtenformulier op de website </w:t>
      </w:r>
      <w:hyperlink r:id="rId7">
        <w:r w:rsidRPr="00106B3D">
          <w:rPr>
            <w:rFonts w:ascii="Calibri" w:eastAsia="Calibri" w:hAnsi="Calibri" w:cs="Calibri"/>
            <w:color w:val="000000"/>
            <w:sz w:val="15"/>
            <w:szCs w:val="15"/>
          </w:rPr>
          <w:t>www.vlaamseombudsdienst.be</w:t>
        </w:r>
      </w:hyperlink>
      <w:r w:rsidRPr="00106B3D">
        <w:rPr>
          <w:rFonts w:ascii="Calibri" w:eastAsia="Calibri" w:hAnsi="Calibri" w:cs="Calibri"/>
          <w:color w:val="000000"/>
          <w:sz w:val="15"/>
          <w:szCs w:val="15"/>
        </w:rPr>
        <w:t> of het gratis nummer 1700.</w:t>
      </w:r>
    </w:p>
    <w:p w:rsidR="00554185" w:rsidRDefault="00554185" w:rsidP="00BF2ACD">
      <w:pPr>
        <w:pBdr>
          <w:top w:val="nil"/>
          <w:left w:val="nil"/>
          <w:bottom w:val="nil"/>
          <w:right w:val="nil"/>
          <w:between w:val="nil"/>
        </w:pBdr>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jc w:val="both"/>
        <w:rPr>
          <w:rFonts w:ascii="Calibri" w:eastAsia="Calibri" w:hAnsi="Calibri" w:cs="Calibri"/>
          <w:color w:val="000000"/>
          <w:sz w:val="22"/>
          <w:szCs w:val="22"/>
        </w:rPr>
      </w:pPr>
    </w:p>
    <w:p w:rsidR="00554185" w:rsidRDefault="00A85B81" w:rsidP="00BF2ACD">
      <w:pPr>
        <w:pBdr>
          <w:top w:val="nil"/>
          <w:left w:val="nil"/>
          <w:bottom w:val="nil"/>
          <w:right w:val="nil"/>
          <w:between w:val="nil"/>
        </w:pBdr>
        <w:tabs>
          <w:tab w:val="left" w:pos="552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Opgemaakt in 2 exemplaren te </w:t>
      </w:r>
      <w:r>
        <w:rPr>
          <w:rFonts w:ascii="Calibri" w:eastAsia="Calibri" w:hAnsi="Calibri" w:cs="Calibri"/>
          <w:sz w:val="22"/>
          <w:szCs w:val="22"/>
        </w:rPr>
        <w:t>……………………………………</w:t>
      </w:r>
      <w:r>
        <w:rPr>
          <w:rFonts w:ascii="Calibri" w:eastAsia="Calibri" w:hAnsi="Calibri" w:cs="Calibri"/>
          <w:color w:val="000000"/>
          <w:sz w:val="22"/>
          <w:szCs w:val="22"/>
        </w:rPr>
        <w:t>...</w:t>
      </w:r>
      <w:r>
        <w:rPr>
          <w:rFonts w:ascii="Calibri" w:eastAsia="Calibri" w:hAnsi="Calibri" w:cs="Calibri"/>
          <w:color w:val="000000"/>
          <w:sz w:val="22"/>
          <w:szCs w:val="22"/>
        </w:rPr>
        <w:tab/>
      </w:r>
      <w:proofErr w:type="gramStart"/>
      <w:r>
        <w:rPr>
          <w:rFonts w:ascii="Calibri" w:eastAsia="Calibri" w:hAnsi="Calibri" w:cs="Calibri"/>
          <w:color w:val="000000"/>
          <w:sz w:val="22"/>
          <w:szCs w:val="22"/>
        </w:rPr>
        <w:t>op</w:t>
      </w:r>
      <w:proofErr w:type="gramEnd"/>
      <w:r>
        <w:rPr>
          <w:rFonts w:ascii="Calibri" w:eastAsia="Calibri" w:hAnsi="Calibri" w:cs="Calibri"/>
          <w:color w:val="000000"/>
          <w:sz w:val="22"/>
          <w:szCs w:val="22"/>
        </w:rPr>
        <w:t xml:space="preserve"> ……………………….……</w:t>
      </w:r>
      <w:r>
        <w:rPr>
          <w:rFonts w:ascii="Calibri" w:eastAsia="Calibri" w:hAnsi="Calibri" w:cs="Calibri"/>
          <w:sz w:val="22"/>
          <w:szCs w:val="22"/>
        </w:rPr>
        <w:t>………………</w:t>
      </w:r>
      <w:r>
        <w:rPr>
          <w:rFonts w:ascii="Calibri" w:eastAsia="Calibri" w:hAnsi="Calibri" w:cs="Calibri"/>
          <w:color w:val="000000"/>
          <w:sz w:val="22"/>
          <w:szCs w:val="22"/>
        </w:rPr>
        <w:t>..</w:t>
      </w:r>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A85B81" w:rsidP="00BF2ACD">
      <w:pPr>
        <w:pBdr>
          <w:top w:val="nil"/>
          <w:left w:val="nil"/>
          <w:bottom w:val="nil"/>
          <w:right w:val="nil"/>
          <w:between w:val="nil"/>
        </w:pBdr>
        <w:tabs>
          <w:tab w:val="left" w:pos="5529"/>
        </w:tabs>
        <w:jc w:val="both"/>
        <w:rPr>
          <w:rFonts w:ascii="Calibri" w:eastAsia="Calibri" w:hAnsi="Calibri" w:cs="Calibri"/>
          <w:color w:val="000000"/>
          <w:sz w:val="22"/>
          <w:szCs w:val="22"/>
        </w:rPr>
      </w:pPr>
      <w:r>
        <w:rPr>
          <w:rFonts w:ascii="Calibri" w:eastAsia="Calibri" w:hAnsi="Calibri" w:cs="Calibri"/>
          <w:color w:val="000000"/>
          <w:sz w:val="22"/>
          <w:szCs w:val="22"/>
        </w:rPr>
        <w:t>Voor de gemandateerde onderneming</w:t>
      </w:r>
      <w:r>
        <w:rPr>
          <w:rFonts w:ascii="Calibri" w:eastAsia="Calibri" w:hAnsi="Calibri" w:cs="Calibri"/>
          <w:color w:val="000000"/>
          <w:sz w:val="22"/>
          <w:szCs w:val="22"/>
        </w:rPr>
        <w:tab/>
        <w:t>De klant</w:t>
      </w:r>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sz w:val="22"/>
          <w:szCs w:val="22"/>
        </w:rPr>
      </w:pPr>
    </w:p>
    <w:p w:rsidR="00554185" w:rsidRDefault="00A85B81" w:rsidP="00BF2ACD">
      <w:pPr>
        <w:pBdr>
          <w:top w:val="nil"/>
          <w:left w:val="nil"/>
          <w:bottom w:val="nil"/>
          <w:right w:val="nil"/>
          <w:between w:val="nil"/>
        </w:pBdr>
        <w:tabs>
          <w:tab w:val="left" w:pos="5529"/>
        </w:tabs>
        <w:jc w:val="both"/>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voornaam</w:t>
      </w:r>
      <w:proofErr w:type="gramEnd"/>
      <w:r>
        <w:rPr>
          <w:rFonts w:ascii="Calibri" w:eastAsia="Calibri" w:hAnsi="Calibri" w:cs="Calibri"/>
          <w:color w:val="000000"/>
          <w:sz w:val="22"/>
          <w:szCs w:val="22"/>
        </w:rPr>
        <w:t xml:space="preserve"> en naam)</w:t>
      </w:r>
      <w:r>
        <w:rPr>
          <w:rFonts w:ascii="Calibri" w:eastAsia="Calibri" w:hAnsi="Calibri" w:cs="Calibri"/>
          <w:color w:val="000000"/>
          <w:sz w:val="22"/>
          <w:szCs w:val="22"/>
        </w:rPr>
        <w:tab/>
        <w:t>(voornaam en naam)</w:t>
      </w:r>
    </w:p>
    <w:p w:rsidR="00554185" w:rsidRDefault="00A85B81" w:rsidP="00BF2ACD">
      <w:pPr>
        <w:pBdr>
          <w:top w:val="nil"/>
          <w:left w:val="nil"/>
          <w:bottom w:val="nil"/>
          <w:right w:val="nil"/>
          <w:between w:val="nil"/>
        </w:pBdr>
        <w:tabs>
          <w:tab w:val="left" w:pos="5529"/>
        </w:tabs>
        <w:jc w:val="both"/>
        <w:rPr>
          <w:rFonts w:ascii="Calibri" w:eastAsia="Calibri" w:hAnsi="Calibri" w:cs="Calibri"/>
          <w:color w:val="000000"/>
          <w:sz w:val="22"/>
          <w:szCs w:val="22"/>
        </w:rPr>
      </w:pPr>
      <w:proofErr w:type="gramStart"/>
      <w:r>
        <w:rPr>
          <w:rFonts w:ascii="Calibri" w:eastAsia="Calibri" w:hAnsi="Calibri" w:cs="Calibri"/>
          <w:sz w:val="22"/>
          <w:szCs w:val="22"/>
        </w:rPr>
        <w:t>l</w:t>
      </w:r>
      <w:r>
        <w:rPr>
          <w:rFonts w:ascii="Calibri" w:eastAsia="Calibri" w:hAnsi="Calibri" w:cs="Calibri"/>
          <w:color w:val="000000"/>
          <w:sz w:val="22"/>
          <w:szCs w:val="22"/>
        </w:rPr>
        <w:t>oopbaanbegeleider</w:t>
      </w:r>
      <w:proofErr w:type="gramEnd"/>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554185" w:rsidP="00BF2ACD">
      <w:pPr>
        <w:pBdr>
          <w:top w:val="nil"/>
          <w:left w:val="nil"/>
          <w:bottom w:val="nil"/>
          <w:right w:val="nil"/>
          <w:between w:val="nil"/>
        </w:pBdr>
        <w:tabs>
          <w:tab w:val="left" w:pos="5529"/>
        </w:tabs>
        <w:jc w:val="both"/>
        <w:rPr>
          <w:rFonts w:ascii="Calibri" w:eastAsia="Calibri" w:hAnsi="Calibri" w:cs="Calibri"/>
          <w:color w:val="000000"/>
          <w:sz w:val="22"/>
          <w:szCs w:val="22"/>
        </w:rPr>
      </w:pPr>
    </w:p>
    <w:p w:rsidR="00554185" w:rsidRDefault="00106B3D" w:rsidP="00BF2ACD">
      <w:pPr>
        <w:pBdr>
          <w:top w:val="nil"/>
          <w:left w:val="nil"/>
          <w:bottom w:val="nil"/>
          <w:right w:val="nil"/>
          <w:between w:val="nil"/>
        </w:pBdr>
        <w:tabs>
          <w:tab w:val="left" w:pos="5529"/>
        </w:tabs>
        <w:jc w:val="both"/>
        <w:rPr>
          <w:rFonts w:ascii="Calibri" w:eastAsia="Calibri" w:hAnsi="Calibri" w:cs="Calibri"/>
          <w:color w:val="000000"/>
          <w:sz w:val="22"/>
          <w:szCs w:val="22"/>
        </w:rPr>
      </w:pPr>
      <w:r w:rsidRPr="00106B3D">
        <w:rPr>
          <w:noProof/>
          <w:sz w:val="15"/>
          <w:szCs w:val="15"/>
          <w:lang w:val="nl-BE"/>
        </w:rPr>
        <w:drawing>
          <wp:anchor distT="0" distB="0" distL="114300" distR="114300" simplePos="0" relativeHeight="251659264" behindDoc="0" locked="0" layoutInCell="1" hidden="0" allowOverlap="1" wp14:anchorId="057CD9DB" wp14:editId="21BE631A">
            <wp:simplePos x="0" y="0"/>
            <wp:positionH relativeFrom="column">
              <wp:posOffset>3615503</wp:posOffset>
            </wp:positionH>
            <wp:positionV relativeFrom="paragraph">
              <wp:posOffset>424852</wp:posOffset>
            </wp:positionV>
            <wp:extent cx="1314450" cy="438150"/>
            <wp:effectExtent l="0" t="0" r="6350" b="6350"/>
            <wp:wrapNone/>
            <wp:docPr id="2" name="image2.jpg" descr="D:\Profiles\mvrie1\Downloads\label_loopbaancheques (1).jpg"/>
            <wp:cNvGraphicFramePr/>
            <a:graphic xmlns:a="http://schemas.openxmlformats.org/drawingml/2006/main">
              <a:graphicData uri="http://schemas.openxmlformats.org/drawingml/2006/picture">
                <pic:pic xmlns:pic="http://schemas.openxmlformats.org/drawingml/2006/picture">
                  <pic:nvPicPr>
                    <pic:cNvPr id="0" name="image2.jpg" descr="D:\Profiles\mvrie1\Downloads\label_loopbaancheques (1).jpg"/>
                    <pic:cNvPicPr preferRelativeResize="0"/>
                  </pic:nvPicPr>
                  <pic:blipFill>
                    <a:blip r:embed="rId8"/>
                    <a:srcRect/>
                    <a:stretch>
                      <a:fillRect/>
                    </a:stretch>
                  </pic:blipFill>
                  <pic:spPr>
                    <a:xfrm>
                      <a:off x="0" y="0"/>
                      <a:ext cx="1314450" cy="438150"/>
                    </a:xfrm>
                    <a:prstGeom prst="rect">
                      <a:avLst/>
                    </a:prstGeom>
                    <a:ln/>
                  </pic:spPr>
                </pic:pic>
              </a:graphicData>
            </a:graphic>
          </wp:anchor>
        </w:drawing>
      </w:r>
      <w:r w:rsidRPr="00106B3D">
        <w:rPr>
          <w:noProof/>
          <w:sz w:val="15"/>
          <w:szCs w:val="15"/>
          <w:lang w:val="nl-BE"/>
        </w:rPr>
        <w:drawing>
          <wp:anchor distT="0" distB="0" distL="0" distR="0" simplePos="0" relativeHeight="251658240" behindDoc="0" locked="0" layoutInCell="1" hidden="0" allowOverlap="1" wp14:anchorId="1FECAD4C" wp14:editId="55C0EFB6">
            <wp:simplePos x="0" y="0"/>
            <wp:positionH relativeFrom="column">
              <wp:posOffset>23010</wp:posOffset>
            </wp:positionH>
            <wp:positionV relativeFrom="paragraph">
              <wp:posOffset>422200</wp:posOffset>
            </wp:positionV>
            <wp:extent cx="895350" cy="4381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95350" cy="438150"/>
                    </a:xfrm>
                    <a:prstGeom prst="rect">
                      <a:avLst/>
                    </a:prstGeom>
                    <a:ln/>
                  </pic:spPr>
                </pic:pic>
              </a:graphicData>
            </a:graphic>
          </wp:anchor>
        </w:drawing>
      </w:r>
      <w:r w:rsidR="00A85B81">
        <w:rPr>
          <w:rFonts w:ascii="Calibri" w:eastAsia="Calibri" w:hAnsi="Calibri" w:cs="Calibri"/>
          <w:color w:val="000000"/>
          <w:sz w:val="22"/>
          <w:szCs w:val="22"/>
        </w:rPr>
        <w:t>Bijlage: gedragscode</w:t>
      </w:r>
      <w:bookmarkStart w:id="0" w:name="_GoBack"/>
      <w:bookmarkEnd w:id="0"/>
    </w:p>
    <w:sectPr w:rsidR="00554185">
      <w:headerReference w:type="default" r:id="rId10"/>
      <w:footerReference w:type="default" r:id="rId11"/>
      <w:footerReference w:type="first" r:id="rId12"/>
      <w:pgSz w:w="11906" w:h="16838"/>
      <w:pgMar w:top="1134" w:right="1418" w:bottom="1106"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3E3" w:rsidRDefault="00AC03E3">
      <w:r>
        <w:separator/>
      </w:r>
    </w:p>
  </w:endnote>
  <w:endnote w:type="continuationSeparator" w:id="0">
    <w:p w:rsidR="00AC03E3" w:rsidRDefault="00AC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185" w:rsidRDefault="00A85B81" w:rsidP="004F42A1">
    <w:pPr>
      <w:pBdr>
        <w:top w:val="nil"/>
        <w:left w:val="nil"/>
        <w:bottom w:val="nil"/>
        <w:right w:val="nil"/>
        <w:between w:val="nil"/>
      </w:pBdr>
      <w:tabs>
        <w:tab w:val="center" w:pos="4536"/>
      </w:tabs>
      <w:rPr>
        <w:rFonts w:ascii="Calibri" w:eastAsia="Calibri" w:hAnsi="Calibri" w:cs="Calibri"/>
        <w:sz w:val="18"/>
        <w:szCs w:val="18"/>
      </w:rPr>
    </w:pPr>
    <w:r>
      <w:rPr>
        <w:rFonts w:ascii="Calibri" w:eastAsia="Calibri" w:hAnsi="Calibri" w:cs="Calibri"/>
        <w:sz w:val="18"/>
        <w:szCs w:val="18"/>
      </w:rPr>
      <w:t>Samenwerkingsovereenkomst 20200101</w:t>
    </w:r>
    <w:r>
      <w:rPr>
        <w:rFonts w:ascii="Calibri" w:eastAsia="Calibri" w:hAnsi="Calibri" w:cs="Calibri"/>
        <w:sz w:val="18"/>
        <w:szCs w:val="18"/>
      </w:rPr>
      <w:tab/>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BF2ACD">
      <w:rPr>
        <w:rFonts w:ascii="Calibri" w:eastAsia="Calibri" w:hAnsi="Calibri" w:cs="Calibri"/>
        <w:noProof/>
        <w:sz w:val="18"/>
        <w:szCs w:val="18"/>
      </w:rPr>
      <w:t>3</w:t>
    </w:r>
    <w:r>
      <w:rPr>
        <w:rFonts w:ascii="Calibri" w:eastAsia="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185" w:rsidRDefault="00A85B81" w:rsidP="004F42A1">
    <w:pPr>
      <w:tabs>
        <w:tab w:val="center" w:pos="4536"/>
      </w:tabs>
      <w:rPr>
        <w:rFonts w:ascii="Calibri" w:eastAsia="Calibri" w:hAnsi="Calibri" w:cs="Calibri"/>
        <w:sz w:val="18"/>
        <w:szCs w:val="18"/>
      </w:rPr>
    </w:pPr>
    <w:r>
      <w:rPr>
        <w:rFonts w:ascii="Calibri" w:eastAsia="Calibri" w:hAnsi="Calibri" w:cs="Calibri"/>
        <w:sz w:val="18"/>
        <w:szCs w:val="18"/>
      </w:rPr>
      <w:t>Samenwerkingsovereenkomst 20200101</w:t>
    </w:r>
    <w:r>
      <w:rPr>
        <w:rFonts w:ascii="Calibri" w:eastAsia="Calibri" w:hAnsi="Calibri" w:cs="Calibri"/>
        <w:sz w:val="18"/>
        <w:szCs w:val="18"/>
      </w:rPr>
      <w:tab/>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BF2ACD">
      <w:rPr>
        <w:rFonts w:ascii="Calibri" w:eastAsia="Calibri" w:hAnsi="Calibri" w:cs="Calibri"/>
        <w:noProof/>
        <w:sz w:val="18"/>
        <w:szCs w:val="18"/>
      </w:rPr>
      <w:t>1</w:t>
    </w:r>
    <w:r>
      <w:rPr>
        <w:rFonts w:ascii="Calibri" w:eastAsia="Calibri" w:hAnsi="Calibri" w:cs="Calibri"/>
        <w:sz w:val="18"/>
        <w:szCs w:val="18"/>
      </w:rPr>
      <w:fldChar w:fldCharType="end"/>
    </w:r>
    <w:r>
      <w:rPr>
        <w:sz w:val="24"/>
        <w:szCs w:val="24"/>
      </w:rPr>
      <w:tab/>
    </w:r>
  </w:p>
  <w:p w:rsidR="00554185" w:rsidRDefault="00554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3E3" w:rsidRDefault="00AC03E3">
      <w:r>
        <w:separator/>
      </w:r>
    </w:p>
  </w:footnote>
  <w:footnote w:type="continuationSeparator" w:id="0">
    <w:p w:rsidR="00AC03E3" w:rsidRDefault="00AC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185" w:rsidRDefault="00554185">
    <w:pPr>
      <w:pBdr>
        <w:top w:val="nil"/>
        <w:left w:val="nil"/>
        <w:bottom w:val="nil"/>
        <w:right w:val="nil"/>
        <w:between w:val="nil"/>
      </w:pBdr>
      <w:tabs>
        <w:tab w:val="center" w:pos="4536"/>
        <w:tab w:val="right" w:pos="9072"/>
      </w:tabs>
      <w:jc w:val="right"/>
      <w:rPr>
        <w:color w:val="000000"/>
        <w:sz w:val="24"/>
        <w:szCs w:val="24"/>
      </w:rPr>
    </w:pPr>
  </w:p>
  <w:p w:rsidR="00554185" w:rsidRDefault="00554185">
    <w:pPr>
      <w:pBdr>
        <w:top w:val="nil"/>
        <w:left w:val="nil"/>
        <w:bottom w:val="nil"/>
        <w:right w:val="nil"/>
        <w:between w:val="nil"/>
      </w:pBdr>
      <w:tabs>
        <w:tab w:val="center" w:pos="4536"/>
        <w:tab w:val="right" w:pos="9072"/>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85"/>
    <w:rsid w:val="0006746D"/>
    <w:rsid w:val="000E6DE1"/>
    <w:rsid w:val="00106B3D"/>
    <w:rsid w:val="0032720A"/>
    <w:rsid w:val="004F42A1"/>
    <w:rsid w:val="00554185"/>
    <w:rsid w:val="005860F6"/>
    <w:rsid w:val="00881A48"/>
    <w:rsid w:val="00A55BB2"/>
    <w:rsid w:val="00A85B81"/>
    <w:rsid w:val="00AC03E3"/>
    <w:rsid w:val="00BF2ACD"/>
    <w:rsid w:val="00C16889"/>
    <w:rsid w:val="00E1681E"/>
    <w:rsid w:val="00FC52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5D33"/>
  <w15:docId w15:val="{FBA52238-6296-8242-8CEB-09A93B19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4F42A1"/>
    <w:pPr>
      <w:tabs>
        <w:tab w:val="center" w:pos="4536"/>
        <w:tab w:val="right" w:pos="9072"/>
      </w:tabs>
    </w:pPr>
  </w:style>
  <w:style w:type="character" w:customStyle="1" w:styleId="KoptekstChar">
    <w:name w:val="Koptekst Char"/>
    <w:basedOn w:val="Standaardalinea-lettertype"/>
    <w:link w:val="Koptekst"/>
    <w:uiPriority w:val="99"/>
    <w:rsid w:val="004F42A1"/>
  </w:style>
  <w:style w:type="paragraph" w:styleId="Voettekst">
    <w:name w:val="footer"/>
    <w:basedOn w:val="Standaard"/>
    <w:link w:val="VoettekstChar"/>
    <w:uiPriority w:val="99"/>
    <w:unhideWhenUsed/>
    <w:rsid w:val="004F42A1"/>
    <w:pPr>
      <w:tabs>
        <w:tab w:val="center" w:pos="4536"/>
        <w:tab w:val="right" w:pos="9072"/>
      </w:tabs>
    </w:pPr>
  </w:style>
  <w:style w:type="character" w:customStyle="1" w:styleId="VoettekstChar">
    <w:name w:val="Voettekst Char"/>
    <w:basedOn w:val="Standaardalinea-lettertype"/>
    <w:link w:val="Voettekst"/>
    <w:uiPriority w:val="99"/>
    <w:rsid w:val="004F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laamseombudsdienst.b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b.be/vdab/klachten.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1022</Words>
  <Characters>5624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idekkers</dc:creator>
  <cp:lastModifiedBy>paul coopman</cp:lastModifiedBy>
  <cp:revision>3</cp:revision>
  <cp:lastPrinted>2019-12-17T11:27:00Z</cp:lastPrinted>
  <dcterms:created xsi:type="dcterms:W3CDTF">2020-01-02T19:09:00Z</dcterms:created>
  <dcterms:modified xsi:type="dcterms:W3CDTF">2020-01-02T19:12:00Z</dcterms:modified>
</cp:coreProperties>
</file>